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53" w:rsidRDefault="005D6853" w:rsidP="005D6853">
      <w:pPr>
        <w:spacing w:after="12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Micro-environmental variation of soil microbial </w:t>
      </w:r>
      <w:r w:rsidR="00EC71A9">
        <w:rPr>
          <w:rFonts w:ascii="Times New Roman" w:hAnsi="Times New Roman" w:cs="Times New Roman"/>
          <w:b/>
          <w:bCs/>
          <w:sz w:val="24"/>
          <w:szCs w:val="24"/>
          <w:lang w:val="en-GB"/>
        </w:rPr>
        <w:t>bio</w:t>
      </w:r>
      <w:bookmarkStart w:id="0" w:name="_GoBack"/>
      <w:bookmarkEnd w:id="0"/>
      <w:r>
        <w:rPr>
          <w:rFonts w:ascii="Times New Roman" w:hAnsi="Times New Roman" w:cs="Times New Roman"/>
          <w:b/>
          <w:bCs/>
          <w:sz w:val="24"/>
          <w:szCs w:val="24"/>
          <w:lang w:val="en-GB"/>
        </w:rPr>
        <w:t>diversity differs across land use types – implications for field sampling designs</w:t>
      </w:r>
    </w:p>
    <w:p w:rsidR="005D6853" w:rsidRDefault="005D6853" w:rsidP="005D6853">
      <w:pPr>
        <w:spacing w:after="120" w:line="360" w:lineRule="auto"/>
        <w:jc w:val="both"/>
        <w:rPr>
          <w:rFonts w:ascii="Times New Roman" w:hAnsi="Times New Roman" w:cs="Times New Roman"/>
          <w:sz w:val="24"/>
          <w:szCs w:val="24"/>
          <w:lang w:val="en-GB"/>
        </w:rPr>
      </w:pPr>
    </w:p>
    <w:p w:rsidR="005D6853" w:rsidRDefault="005D6853" w:rsidP="005D685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Álvarez, Valeria </w:t>
      </w:r>
      <w:proofErr w:type="spellStart"/>
      <w:r>
        <w:rPr>
          <w:rFonts w:ascii="Times New Roman" w:hAnsi="Times New Roman" w:cs="Times New Roman"/>
          <w:sz w:val="24"/>
          <w:szCs w:val="24"/>
        </w:rPr>
        <w:t>E.</w:t>
      </w:r>
      <w:r>
        <w:rPr>
          <w:rFonts w:ascii="Times New Roman" w:hAnsi="Times New Roman" w:cs="Times New Roman"/>
          <w:sz w:val="24"/>
          <w:szCs w:val="24"/>
          <w:vertAlign w:val="superscript"/>
        </w:rPr>
        <w:t>a,b</w:t>
      </w:r>
      <w:proofErr w:type="spellEnd"/>
      <w:r>
        <w:rPr>
          <w:rFonts w:ascii="Times New Roman" w:hAnsi="Times New Roman" w:cs="Times New Roman"/>
          <w:sz w:val="24"/>
          <w:szCs w:val="24"/>
          <w:vertAlign w:val="superscript"/>
        </w:rPr>
        <w:t>,</w:t>
      </w:r>
      <w:r>
        <w:rPr>
          <w:rFonts w:ascii="Times New Roman" w:hAnsi="Times New Roman" w:cs="Times New Roman"/>
          <w:sz w:val="28"/>
          <w:szCs w:val="28"/>
          <w:vertAlign w:val="superscript"/>
        </w:rPr>
        <w:t>*</w:t>
      </w:r>
      <w:r>
        <w:rPr>
          <w:rFonts w:ascii="Times New Roman" w:hAnsi="Times New Roman" w:cs="Times New Roman"/>
          <w:sz w:val="24"/>
          <w:szCs w:val="24"/>
        </w:rPr>
        <w:t xml:space="preserve">, El Mujtar, Verónica </w:t>
      </w:r>
      <w:proofErr w:type="spellStart"/>
      <w:r>
        <w:rPr>
          <w:rFonts w:ascii="Times New Roman" w:hAnsi="Times New Roman" w:cs="Times New Roman"/>
          <w:sz w:val="24"/>
          <w:szCs w:val="24"/>
        </w:rPr>
        <w:t>A.</w:t>
      </w:r>
      <w:r>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Falcão</w:t>
      </w:r>
      <w:proofErr w:type="spellEnd"/>
      <w:r>
        <w:rPr>
          <w:rFonts w:ascii="Times New Roman" w:hAnsi="Times New Roman" w:cs="Times New Roman"/>
          <w:sz w:val="24"/>
          <w:szCs w:val="24"/>
        </w:rPr>
        <w:t xml:space="preserve"> Salles, </w:t>
      </w:r>
      <w:proofErr w:type="spellStart"/>
      <w:r>
        <w:rPr>
          <w:rFonts w:ascii="Times New Roman" w:hAnsi="Times New Roman" w:cs="Times New Roman"/>
          <w:sz w:val="24"/>
          <w:szCs w:val="24"/>
        </w:rPr>
        <w:t>Joana</w:t>
      </w:r>
      <w:r>
        <w:rPr>
          <w:rFonts w:ascii="Times New Roman" w:hAnsi="Times New Roman" w:cs="Times New Roman"/>
          <w:sz w:val="24"/>
          <w:szCs w:val="24"/>
          <w:vertAlign w:val="superscript"/>
        </w:rPr>
        <w:t>c</w:t>
      </w:r>
      <w:proofErr w:type="spellEnd"/>
      <w:r>
        <w:rPr>
          <w:rFonts w:ascii="Times New Roman" w:hAnsi="Times New Roman" w:cs="Times New Roman"/>
          <w:sz w:val="24"/>
          <w:szCs w:val="24"/>
        </w:rPr>
        <w:t xml:space="preserve">, Jia, </w:t>
      </w:r>
      <w:proofErr w:type="spellStart"/>
      <w:r>
        <w:rPr>
          <w:rFonts w:ascii="Times New Roman" w:hAnsi="Times New Roman" w:cs="Times New Roman"/>
          <w:sz w:val="24"/>
          <w:szCs w:val="24"/>
        </w:rPr>
        <w:t>Xiu</w:t>
      </w:r>
      <w:r>
        <w:rPr>
          <w:rFonts w:ascii="Times New Roman" w:hAnsi="Times New Roman" w:cs="Times New Roman"/>
          <w:sz w:val="24"/>
          <w:szCs w:val="24"/>
          <w:vertAlign w:val="superscript"/>
        </w:rPr>
        <w: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Elisa</w:t>
      </w:r>
      <w:r>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Cardozo, </w:t>
      </w:r>
      <w:proofErr w:type="spellStart"/>
      <w:r>
        <w:rPr>
          <w:rFonts w:ascii="Times New Roman" w:hAnsi="Times New Roman" w:cs="Times New Roman"/>
          <w:sz w:val="24"/>
          <w:szCs w:val="24"/>
        </w:rPr>
        <w:t>Andrea</w:t>
      </w:r>
      <w:r>
        <w:rPr>
          <w:rFonts w:ascii="Times New Roman" w:hAnsi="Times New Roman" w:cs="Times New Roman"/>
          <w:sz w:val="24"/>
          <w:szCs w:val="24"/>
          <w:vertAlign w:val="superscript"/>
        </w:rPr>
        <w:t>a,d</w:t>
      </w:r>
      <w:proofErr w:type="spellEnd"/>
      <w:r>
        <w:rPr>
          <w:rFonts w:ascii="Times New Roman" w:hAnsi="Times New Roman" w:cs="Times New Roman"/>
          <w:sz w:val="24"/>
          <w:szCs w:val="24"/>
        </w:rPr>
        <w:t xml:space="preserve">, Tittonell, Pablo </w:t>
      </w:r>
      <w:proofErr w:type="spellStart"/>
      <w:r>
        <w:rPr>
          <w:rFonts w:ascii="Times New Roman" w:hAnsi="Times New Roman" w:cs="Times New Roman"/>
          <w:sz w:val="24"/>
          <w:szCs w:val="24"/>
        </w:rPr>
        <w:t>A.</w:t>
      </w:r>
      <w:r>
        <w:rPr>
          <w:rFonts w:ascii="Times New Roman" w:hAnsi="Times New Roman" w:cs="Times New Roman"/>
          <w:sz w:val="24"/>
          <w:szCs w:val="24"/>
          <w:vertAlign w:val="superscript"/>
        </w:rPr>
        <w:t>a,c,e</w:t>
      </w:r>
      <w:proofErr w:type="spellEnd"/>
      <w:r>
        <w:rPr>
          <w:rFonts w:ascii="Times New Roman" w:hAnsi="Times New Roman" w:cs="Times New Roman"/>
          <w:sz w:val="24"/>
          <w:szCs w:val="24"/>
        </w:rPr>
        <w:t xml:space="preserve"> </w:t>
      </w:r>
    </w:p>
    <w:p w:rsidR="005D6853" w:rsidRDefault="005D6853" w:rsidP="005D6853">
      <w:pPr>
        <w:spacing w:after="120" w:line="360" w:lineRule="auto"/>
        <w:jc w:val="both"/>
        <w:rPr>
          <w:rFonts w:ascii="Times New Roman" w:hAnsi="Times New Roman" w:cs="Times New Roman"/>
          <w:sz w:val="24"/>
          <w:szCs w:val="24"/>
        </w:rPr>
      </w:pPr>
    </w:p>
    <w:p w:rsidR="005D6853" w:rsidRDefault="005D6853" w:rsidP="005D6853">
      <w:pPr>
        <w:spacing w:after="120" w:line="360" w:lineRule="auto"/>
        <w:jc w:val="both"/>
        <w:rPr>
          <w:rStyle w:val="fontstyle01"/>
          <w:rFonts w:ascii="Times New Roman" w:hAnsi="Times New Roman"/>
          <w:sz w:val="24"/>
          <w:szCs w:val="24"/>
        </w:rPr>
      </w:pPr>
      <w:proofErr w:type="spellStart"/>
      <w:r>
        <w:rPr>
          <w:rStyle w:val="fontstyle01"/>
          <w:rFonts w:ascii="Times New Roman" w:hAnsi="Times New Roman" w:cs="Times New Roman"/>
          <w:sz w:val="24"/>
          <w:szCs w:val="24"/>
          <w:vertAlign w:val="superscript"/>
        </w:rPr>
        <w:t>a</w:t>
      </w:r>
      <w:r>
        <w:rPr>
          <w:rStyle w:val="fontstyle01"/>
          <w:rFonts w:ascii="Times New Roman" w:hAnsi="Times New Roman" w:cs="Times New Roman"/>
          <w:sz w:val="24"/>
          <w:szCs w:val="24"/>
        </w:rPr>
        <w:t>Agroecology</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Environment</w:t>
      </w:r>
      <w:proofErr w:type="spellEnd"/>
      <w:r>
        <w:rPr>
          <w:rStyle w:val="fontstyle01"/>
          <w:rFonts w:ascii="Times New Roman" w:hAnsi="Times New Roman" w:cs="Times New Roman"/>
          <w:sz w:val="24"/>
          <w:szCs w:val="24"/>
        </w:rPr>
        <w:t xml:space="preserve"> and </w:t>
      </w:r>
      <w:proofErr w:type="spellStart"/>
      <w:r>
        <w:rPr>
          <w:rStyle w:val="fontstyle01"/>
          <w:rFonts w:ascii="Times New Roman" w:hAnsi="Times New Roman" w:cs="Times New Roman"/>
          <w:sz w:val="24"/>
          <w:szCs w:val="24"/>
        </w:rPr>
        <w:t>Systems</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Group</w:t>
      </w:r>
      <w:proofErr w:type="spellEnd"/>
      <w:r>
        <w:rPr>
          <w:rStyle w:val="fontstyle01"/>
          <w:rFonts w:ascii="Times New Roman" w:hAnsi="Times New Roman" w:cs="Times New Roman"/>
          <w:sz w:val="24"/>
          <w:szCs w:val="24"/>
        </w:rPr>
        <w:t>, Instituto de Investigaciones Forestales y</w:t>
      </w:r>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Agropecuarias de Bariloche (IFAB) - Instituto Nacional de Tecnología Agropecuaria-Consejo Nacional de Investigaciones Científicas y Técnicas (INTA-CONICET), Modesta Victoria 4450 - CC 277</w:t>
      </w:r>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(8400), San Carlos de Bariloche, Río Negro, Argentina.</w:t>
      </w:r>
    </w:p>
    <w:p w:rsidR="005D6853" w:rsidRDefault="005D6853" w:rsidP="005D6853">
      <w:pPr>
        <w:spacing w:after="120" w:line="360" w:lineRule="auto"/>
        <w:jc w:val="both"/>
      </w:pPr>
      <w:proofErr w:type="spellStart"/>
      <w:r>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rPr>
        <w:t>Instituto</w:t>
      </w:r>
      <w:proofErr w:type="spellEnd"/>
      <w:r>
        <w:rPr>
          <w:rFonts w:ascii="Times New Roman" w:hAnsi="Times New Roman" w:cs="Times New Roman"/>
          <w:color w:val="000000"/>
          <w:sz w:val="24"/>
          <w:szCs w:val="24"/>
        </w:rPr>
        <w:t xml:space="preserve"> Tecnológico de </w:t>
      </w:r>
      <w:proofErr w:type="spellStart"/>
      <w:r>
        <w:rPr>
          <w:rFonts w:ascii="Times New Roman" w:hAnsi="Times New Roman" w:cs="Times New Roman"/>
          <w:color w:val="000000"/>
          <w:sz w:val="24"/>
          <w:szCs w:val="24"/>
        </w:rPr>
        <w:t>Chascomús</w:t>
      </w:r>
      <w:proofErr w:type="spellEnd"/>
      <w:r>
        <w:rPr>
          <w:rFonts w:ascii="Times New Roman" w:hAnsi="Times New Roman" w:cs="Times New Roman"/>
          <w:color w:val="000000"/>
          <w:sz w:val="24"/>
          <w:szCs w:val="24"/>
        </w:rPr>
        <w:t xml:space="preserve"> (INTECH), CONICET-UNSAM, Avenida Intendente Marino Km 8.2 (7130), </w:t>
      </w:r>
      <w:proofErr w:type="spellStart"/>
      <w:r>
        <w:rPr>
          <w:rFonts w:ascii="Times New Roman" w:hAnsi="Times New Roman" w:cs="Times New Roman"/>
          <w:color w:val="000000"/>
          <w:sz w:val="24"/>
          <w:szCs w:val="24"/>
        </w:rPr>
        <w:t>Chascomús</w:t>
      </w:r>
      <w:proofErr w:type="spellEnd"/>
      <w:r>
        <w:rPr>
          <w:rFonts w:ascii="Times New Roman" w:hAnsi="Times New Roman" w:cs="Times New Roman"/>
          <w:color w:val="000000"/>
          <w:sz w:val="24"/>
          <w:szCs w:val="24"/>
        </w:rPr>
        <w:t>, Buenos Aires, Argentina.</w:t>
      </w:r>
    </w:p>
    <w:p w:rsidR="005D6853" w:rsidRDefault="005D6853" w:rsidP="005D6853">
      <w:pPr>
        <w:spacing w:after="120" w:line="360" w:lineRule="auto"/>
        <w:jc w:val="both"/>
        <w:rPr>
          <w:rFonts w:ascii="Times New Roman" w:hAnsi="Times New Roman" w:cs="Times New Roman"/>
          <w:sz w:val="24"/>
          <w:szCs w:val="24"/>
          <w:lang w:val="en-GB"/>
        </w:rPr>
      </w:pPr>
      <w:r>
        <w:rPr>
          <w:rStyle w:val="fontstyle01"/>
          <w:rFonts w:ascii="Times New Roman" w:hAnsi="Times New Roman" w:cs="Times New Roman"/>
          <w:sz w:val="24"/>
          <w:szCs w:val="24"/>
          <w:vertAlign w:val="superscript"/>
          <w:lang w:val="en-GB"/>
        </w:rPr>
        <w:t>c</w:t>
      </w:r>
      <w:r>
        <w:rPr>
          <w:rStyle w:val="fontstyle01"/>
          <w:rFonts w:ascii="Times New Roman" w:hAnsi="Times New Roman" w:cs="Times New Roman"/>
          <w:sz w:val="24"/>
          <w:szCs w:val="24"/>
          <w:lang w:val="en-GB"/>
        </w:rPr>
        <w:t>Groningen Institute of Evolutionary Life Sciences (GELIFES), Groningen University, PO Box 11103,</w:t>
      </w:r>
      <w:r>
        <w:rPr>
          <w:rFonts w:ascii="Times New Roman" w:hAnsi="Times New Roman" w:cs="Times New Roman"/>
          <w:color w:val="000000"/>
          <w:sz w:val="24"/>
          <w:szCs w:val="24"/>
          <w:lang w:val="en-GB"/>
        </w:rPr>
        <w:t xml:space="preserve"> </w:t>
      </w:r>
      <w:r>
        <w:rPr>
          <w:rStyle w:val="fontstyle21"/>
          <w:rFonts w:ascii="Times New Roman" w:hAnsi="Times New Roman" w:cs="Times New Roman"/>
          <w:sz w:val="24"/>
          <w:szCs w:val="24"/>
          <w:lang w:val="en-GB"/>
        </w:rPr>
        <w:t xml:space="preserve">17 </w:t>
      </w:r>
      <w:r>
        <w:rPr>
          <w:rStyle w:val="fontstyle01"/>
          <w:rFonts w:ascii="Times New Roman" w:hAnsi="Times New Roman" w:cs="Times New Roman"/>
          <w:sz w:val="24"/>
          <w:szCs w:val="24"/>
          <w:lang w:val="en-GB"/>
        </w:rPr>
        <w:t>9700 CC Groningen, The Netherlands.</w:t>
      </w:r>
    </w:p>
    <w:p w:rsidR="005D6853" w:rsidRDefault="005D6853" w:rsidP="005D6853">
      <w:pPr>
        <w:spacing w:after="120" w:line="360" w:lineRule="auto"/>
        <w:jc w:val="both"/>
        <w:rPr>
          <w:rFonts w:ascii="Times New Roman" w:hAnsi="Times New Roman" w:cs="Times New Roman"/>
          <w:color w:val="000000"/>
          <w:sz w:val="24"/>
          <w:szCs w:val="24"/>
        </w:rPr>
      </w:pPr>
      <w:r>
        <w:rPr>
          <w:rStyle w:val="fontstyle01"/>
          <w:rFonts w:ascii="Times New Roman" w:hAnsi="Times New Roman" w:cs="Times New Roman"/>
          <w:sz w:val="24"/>
          <w:szCs w:val="24"/>
          <w:vertAlign w:val="superscript"/>
        </w:rPr>
        <w:t>d</w:t>
      </w:r>
      <w:r>
        <w:rPr>
          <w:rStyle w:val="fontstyle01"/>
          <w:rFonts w:ascii="Times New Roman" w:hAnsi="Times New Roman" w:cs="Times New Roman"/>
          <w:sz w:val="24"/>
          <w:szCs w:val="24"/>
        </w:rPr>
        <w:t xml:space="preserve">Agencia de Extensión Rural </w:t>
      </w:r>
      <w:r>
        <w:rPr>
          <w:rStyle w:val="fontstyle21"/>
          <w:rFonts w:ascii="Times New Roman" w:hAnsi="Times New Roman" w:cs="Times New Roman"/>
          <w:sz w:val="24"/>
          <w:szCs w:val="24"/>
        </w:rPr>
        <w:t xml:space="preserve">de </w:t>
      </w:r>
      <w:r>
        <w:rPr>
          <w:rStyle w:val="fontstyle01"/>
          <w:rFonts w:ascii="Times New Roman" w:hAnsi="Times New Roman" w:cs="Times New Roman"/>
          <w:sz w:val="24"/>
          <w:szCs w:val="24"/>
        </w:rPr>
        <w:t>El Bolsón, Instituto Nacional de Tecnología Agropecuaria</w:t>
      </w:r>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(INTA), El Bolsón, Río Negro, Argentina.</w:t>
      </w:r>
      <w:r>
        <w:rPr>
          <w:rFonts w:ascii="Times New Roman" w:hAnsi="Times New Roman" w:cs="Times New Roman"/>
          <w:color w:val="000000"/>
          <w:sz w:val="24"/>
          <w:szCs w:val="24"/>
        </w:rPr>
        <w:t xml:space="preserve"> </w:t>
      </w:r>
    </w:p>
    <w:p w:rsidR="005D6853" w:rsidRDefault="005D6853" w:rsidP="005D6853">
      <w:pPr>
        <w:spacing w:after="120" w:line="360" w:lineRule="auto"/>
        <w:jc w:val="both"/>
        <w:rPr>
          <w:rFonts w:ascii="Times New Roman" w:hAnsi="Times New Roman" w:cs="Times New Roman"/>
          <w:color w:val="000000"/>
          <w:sz w:val="24"/>
          <w:szCs w:val="24"/>
          <w:lang w:val="fr-FR"/>
        </w:rPr>
      </w:pPr>
      <w:r>
        <w:rPr>
          <w:rStyle w:val="fontstyle01"/>
          <w:rFonts w:ascii="Times New Roman" w:hAnsi="Times New Roman" w:cs="Times New Roman"/>
          <w:sz w:val="24"/>
          <w:szCs w:val="24"/>
          <w:vertAlign w:val="superscript"/>
          <w:lang w:val="fr-FR"/>
        </w:rPr>
        <w:t>e</w:t>
      </w:r>
      <w:r>
        <w:rPr>
          <w:rStyle w:val="fontstyle01"/>
          <w:rFonts w:ascii="Times New Roman" w:hAnsi="Times New Roman" w:cs="Times New Roman"/>
          <w:sz w:val="24"/>
          <w:szCs w:val="24"/>
          <w:lang w:val="fr-FR"/>
        </w:rPr>
        <w:t>Agroécologie et Intensification Durable (AïDA), Centre de Coopération Internationale en</w:t>
      </w:r>
      <w:r>
        <w:rPr>
          <w:rFonts w:ascii="Times New Roman" w:hAnsi="Times New Roman" w:cs="Times New Roman"/>
          <w:color w:val="000000"/>
          <w:sz w:val="24"/>
          <w:szCs w:val="24"/>
          <w:lang w:val="fr-FR"/>
        </w:rPr>
        <w:t xml:space="preserve"> </w:t>
      </w:r>
      <w:r>
        <w:rPr>
          <w:rStyle w:val="fontstyle01"/>
          <w:rFonts w:ascii="Times New Roman" w:hAnsi="Times New Roman" w:cs="Times New Roman"/>
          <w:sz w:val="24"/>
          <w:szCs w:val="24"/>
          <w:lang w:val="fr-FR"/>
        </w:rPr>
        <w:t>Recherche Agronomique pour le Développement (CIRAD), Université de Montpellier,</w:t>
      </w:r>
      <w:r>
        <w:rPr>
          <w:rFonts w:ascii="Times New Roman" w:hAnsi="Times New Roman" w:cs="Times New Roman"/>
          <w:color w:val="000000"/>
          <w:sz w:val="24"/>
          <w:szCs w:val="24"/>
          <w:lang w:val="fr-FR"/>
        </w:rPr>
        <w:t xml:space="preserve"> </w:t>
      </w:r>
      <w:r>
        <w:rPr>
          <w:rStyle w:val="fontstyle01"/>
          <w:rFonts w:ascii="Times New Roman" w:hAnsi="Times New Roman" w:cs="Times New Roman"/>
          <w:sz w:val="24"/>
          <w:szCs w:val="24"/>
          <w:lang w:val="fr-FR"/>
        </w:rPr>
        <w:t>34000 Montpellier, France.</w:t>
      </w:r>
      <w:r>
        <w:rPr>
          <w:rFonts w:ascii="Times New Roman" w:hAnsi="Times New Roman" w:cs="Times New Roman"/>
          <w:color w:val="000000"/>
          <w:sz w:val="24"/>
          <w:szCs w:val="24"/>
          <w:lang w:val="fr-FR"/>
        </w:rPr>
        <w:t xml:space="preserve"> </w:t>
      </w:r>
    </w:p>
    <w:p w:rsidR="005D6853" w:rsidRDefault="005D6853" w:rsidP="005D6853">
      <w:pPr>
        <w:spacing w:after="120" w:line="360" w:lineRule="auto"/>
        <w:jc w:val="both"/>
        <w:rPr>
          <w:rFonts w:ascii="Times New Roman" w:hAnsi="Times New Roman" w:cs="Times New Roman"/>
          <w:sz w:val="24"/>
          <w:szCs w:val="24"/>
          <w:lang w:val="fr-FR"/>
        </w:rPr>
      </w:pPr>
    </w:p>
    <w:p w:rsidR="005D6853" w:rsidRDefault="005D6853" w:rsidP="005D6853">
      <w:pPr>
        <w:spacing w:after="120" w:line="360" w:lineRule="auto"/>
        <w:jc w:val="both"/>
        <w:rPr>
          <w:rStyle w:val="Hipervnculo"/>
          <w:lang w:val="en-US"/>
        </w:rPr>
      </w:pPr>
      <w:r>
        <w:rPr>
          <w:rFonts w:ascii="Times New Roman" w:hAnsi="Times New Roman" w:cs="Times New Roman"/>
          <w:sz w:val="24"/>
          <w:szCs w:val="24"/>
          <w:lang w:val="en-US"/>
        </w:rPr>
        <w:t xml:space="preserve">* Corresponding author e-mail </w:t>
      </w:r>
      <w:proofErr w:type="spellStart"/>
      <w:r>
        <w:rPr>
          <w:rFonts w:ascii="Times New Roman" w:hAnsi="Times New Roman" w:cs="Times New Roman"/>
          <w:sz w:val="24"/>
          <w:szCs w:val="24"/>
          <w:lang w:val="en-US"/>
        </w:rPr>
        <w:t>adress</w:t>
      </w:r>
      <w:proofErr w:type="spellEnd"/>
      <w:r>
        <w:rPr>
          <w:rFonts w:ascii="Times New Roman" w:hAnsi="Times New Roman" w:cs="Times New Roman"/>
          <w:sz w:val="24"/>
          <w:szCs w:val="24"/>
          <w:lang w:val="en-US"/>
        </w:rPr>
        <w:t xml:space="preserve">: </w:t>
      </w:r>
      <w:hyperlink r:id="rId7" w:history="1">
        <w:r>
          <w:rPr>
            <w:rStyle w:val="Hipervnculo"/>
            <w:rFonts w:ascii="Times New Roman" w:hAnsi="Times New Roman" w:cs="Times New Roman"/>
            <w:sz w:val="24"/>
            <w:szCs w:val="24"/>
            <w:lang w:val="en-US"/>
          </w:rPr>
          <w:t>alvarez.valeria@inta.gob.ar</w:t>
        </w:r>
      </w:hyperlink>
    </w:p>
    <w:p w:rsidR="005D6853" w:rsidRDefault="005D6853" w:rsidP="005D6853">
      <w:pPr>
        <w:spacing w:after="120" w:line="360" w:lineRule="auto"/>
        <w:jc w:val="both"/>
        <w:rPr>
          <w:rStyle w:val="Hipervnculo"/>
          <w:rFonts w:ascii="Times New Roman" w:hAnsi="Times New Roman" w:cs="Times New Roman"/>
          <w:sz w:val="24"/>
          <w:szCs w:val="24"/>
          <w:lang w:val="en-US"/>
        </w:rPr>
      </w:pPr>
    </w:p>
    <w:p w:rsidR="005D6853" w:rsidRDefault="005D6853" w:rsidP="005D6853">
      <w:pPr>
        <w:rPr>
          <w:b/>
          <w:lang w:val="en-GB"/>
        </w:rPr>
      </w:pPr>
    </w:p>
    <w:p w:rsidR="005D6853" w:rsidRDefault="005D6853" w:rsidP="005D6853">
      <w:pPr>
        <w:rPr>
          <w:rFonts w:ascii="Times New Roman" w:hAnsi="Times New Roman" w:cs="Times New Roman"/>
          <w:b/>
          <w:sz w:val="24"/>
          <w:szCs w:val="24"/>
          <w:lang w:val="en-GB"/>
        </w:rPr>
      </w:pPr>
    </w:p>
    <w:p w:rsidR="005D6853" w:rsidRDefault="005D6853" w:rsidP="005D6853">
      <w:pPr>
        <w:rPr>
          <w:rFonts w:ascii="Times New Roman" w:hAnsi="Times New Roman" w:cs="Times New Roman"/>
          <w:b/>
          <w:sz w:val="24"/>
          <w:szCs w:val="24"/>
          <w:lang w:val="en-GB"/>
        </w:rPr>
      </w:pPr>
    </w:p>
    <w:p w:rsidR="005D6853" w:rsidRDefault="005D6853" w:rsidP="005D6853">
      <w:pPr>
        <w:rPr>
          <w:rFonts w:ascii="Times New Roman" w:hAnsi="Times New Roman" w:cs="Times New Roman"/>
          <w:b/>
          <w:sz w:val="24"/>
          <w:szCs w:val="24"/>
          <w:lang w:val="en-GB"/>
        </w:rPr>
      </w:pPr>
    </w:p>
    <w:p w:rsidR="005D6853" w:rsidRDefault="005D6853" w:rsidP="005D6853">
      <w:pPr>
        <w:rPr>
          <w:rFonts w:ascii="Times New Roman" w:hAnsi="Times New Roman" w:cs="Times New Roman"/>
          <w:b/>
          <w:sz w:val="24"/>
          <w:szCs w:val="24"/>
          <w:lang w:val="en-GB"/>
        </w:rPr>
      </w:pPr>
    </w:p>
    <w:p w:rsidR="005D6853" w:rsidRDefault="005D6853" w:rsidP="005D6853">
      <w:pPr>
        <w:rPr>
          <w:rFonts w:ascii="Times New Roman" w:hAnsi="Times New Roman" w:cs="Times New Roman"/>
          <w:b/>
          <w:sz w:val="24"/>
          <w:szCs w:val="24"/>
          <w:lang w:val="en-GB"/>
        </w:rPr>
      </w:pPr>
    </w:p>
    <w:p w:rsidR="005D6853" w:rsidRDefault="005D6853" w:rsidP="005D6853">
      <w:pPr>
        <w:rPr>
          <w:rFonts w:ascii="Times New Roman" w:hAnsi="Times New Roman" w:cs="Times New Roman"/>
          <w:b/>
          <w:sz w:val="24"/>
          <w:szCs w:val="24"/>
          <w:lang w:val="en-GB"/>
        </w:rPr>
      </w:pPr>
    </w:p>
    <w:p w:rsidR="005D6853" w:rsidRDefault="005D6853" w:rsidP="005D6853">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Supplementary Information</w:t>
      </w:r>
    </w:p>
    <w:p w:rsidR="005D6853" w:rsidRDefault="005D6853" w:rsidP="005D6853">
      <w:pPr>
        <w:spacing w:after="120" w:line="360" w:lineRule="auto"/>
        <w:jc w:val="both"/>
        <w:rPr>
          <w:rFonts w:ascii="Times New Roman" w:hAnsi="Times New Roman" w:cs="Times New Roman"/>
          <w:sz w:val="24"/>
          <w:szCs w:val="24"/>
          <w:lang w:val="en-GB"/>
        </w:rPr>
      </w:pPr>
    </w:p>
    <w:p w:rsidR="005D6853" w:rsidRDefault="005D6853" w:rsidP="005D6853">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Deterministic and stochastic processes modelling microbial community assembly </w:t>
      </w:r>
    </w:p>
    <w:p w:rsidR="005D6853" w:rsidRPr="00EC71A9" w:rsidRDefault="005D6853" w:rsidP="005D6853">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The combination of the β-nearest taxon index (β-NTI) and the Bray-Curtis-based Raup-Crick metric (</w:t>
      </w:r>
      <w:proofErr w:type="spellStart"/>
      <w:r>
        <w:rPr>
          <w:rFonts w:ascii="Times New Roman" w:hAnsi="Times New Roman" w:cs="Times New Roman"/>
          <w:sz w:val="24"/>
          <w:szCs w:val="24"/>
          <w:lang w:val="en-GB"/>
        </w:rPr>
        <w:t>RC</w:t>
      </w:r>
      <w:r>
        <w:rPr>
          <w:rFonts w:ascii="Times New Roman" w:hAnsi="Times New Roman" w:cs="Times New Roman"/>
          <w:sz w:val="24"/>
          <w:szCs w:val="24"/>
          <w:vertAlign w:val="subscript"/>
          <w:lang w:val="en-GB"/>
        </w:rPr>
        <w:t>bray</w:t>
      </w:r>
      <w:proofErr w:type="spellEnd"/>
      <w:r>
        <w:rPr>
          <w:rFonts w:ascii="Times New Roman" w:hAnsi="Times New Roman" w:cs="Times New Roman"/>
          <w:sz w:val="24"/>
          <w:szCs w:val="24"/>
          <w:lang w:val="en-GB"/>
        </w:rPr>
        <w:t>) was used to estimate the relative influences of deterministic (homogeneous selection and variable selection) and stochastic (homogenizing dispersal, dispersal limitation, and undominated) processes on  community turnover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{"citationItems":[{"id":"ITEM-1","itemData":{"DOI":"10.1038/ismej.2013.93","ISSN":"1751-7362","author":[{"dropping-particle":"","family":"Stegen","given":"James C","non-dropping-particle":"","parse-names":false,"suffix":""},{"dropping-particle":"","family":"Lin","given":"Xueju","non-dropping-particle":"","parse-names":false,"suffix":""},{"dropping-particle":"","family":"Fredrickson","given":"Jim K","non-dropping-particle":"","parse-names":false,"suffix":""},{"dropping-particle":"","family":"Chen","given":"Xingyuan","non-dropping-particle":"","parse-names":false,"suffix":""},{"dropping-particle":"","family":"Kennedy","given":"David W","non-dropping-particle":"","parse-names":false,"suffix":""},{"dropping-particle":"","family":"Murray","given":"Christopher J","non-dropping-particle":"","parse-names":false,"suffix":""},{"dropping-particle":"","family":"Rockhold","given":"Mark L","non-dropping-particle":"","parse-names":false,"suffix":""},{"dropping-particle":"","family":"Konopka","given":"Allan","non-dropping-particle":"","parse-names":false,"suffix":""}],"container-title":"The ISME Journal","id":"ITEM-1","issue":"11","issued":{"date-parts":[["2013","11","6"]]},"page":"2069-2079","publisher":"Nature Publishing Group","title":"Quantifying community assembly processes and identifying features that impose them","type":"article-journal","volume":"7"},"uris":["http://www.mendeley.com/documents/?uuid=8c98ad0e-7f55-41f6-beea-12fa4343d585"]}],"mendeley":{"formattedCitation":"(Stegen et al., 2013)","manualFormatting":"Stegen et al., 2013)","plainTextFormattedCitation":"(Stegen et al., 2013)","previouslyFormattedCitation":"(Stegen et al., 2013)"},"properties":{"noteIndex":0},"schema":"https://github.com/citation-style-language/schema/raw/master/csl-citation.json"}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Stegen et al., 2013)</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Both indexes were calculated according to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{"citationItems":[{"id":"ITEM-1","itemData":{"DOI":"10.1016/j.tim.2018.02.011","ISSN":"18784380","PMID":"29550356","abstract":"Our planet teems with microorganisms that often present a skewed abundance distribution in a local community, with relatively few dominant species coexisting alongside a high number of rare species. Recent studies have demonstrated that these rare taxa serve as limitless reservoirs of genetic diversity, and perform disproportionate types of functions despite their low abundances. However, relatively little is known about the mechanisms controlling rarity and the processes promoting the development of the rare biosphere. Here, we propose the use of multivariate cut-offs to estimate rare species and phylogenetic null models applied to predefined rare taxa to disentangle the relative influences of ecoevolutionary processes mediating the assembly of the rare biosphere. Importantly, the identification of the factors controlling rare species assemblages is critical for understanding the types of rarity, how the rare biosphere is established, and how rare microorganisms fluctuate over spatiotemporal scales, thus enabling prospective predictions of ecosystem responses.","author":[{"dropping-particle":"","family":"Jia","given":"Xiu","non-dropping-particle":"","parse-names":false,"suffix":""},{"dropping-particle":"","family":"Dini-Andreote","given":"Francisco","non-dropping-particle":"","parse-names":false,"suffix":""},{"dropping-particle":"","family":"Falcão Salles","given":"Joana","non-dropping-particle":"","parse-names":false,"suffix":""}],"container-title":"Trends in Microbiology","id":"ITEM-1","issue":"9","issued":{"date-parts":[["2018"]]},"page":"738-747","publisher":"Elsevier Ltd","title":"Community Assembly Processes of the Microbial Rare Biosphere","type":"article-journal","volume":"26"},"uris":["http://www.mendeley.com/documents/?uuid=7a635a14-2aee-40b4-95f3-1b7767e4d0c0"]}],"mendeley":{"formattedCitation":"(Jia et al., 2018)","manualFormatting":"Jia et al. (2018)","plainTextFormattedCitation":"(Jia et al., 2018)"},"properties":{"noteIndex":0},"schema":"https://github.com/citation-style-language/schema/raw/master/csl-citation.json"}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Jia et al. (</w:t>
      </w:r>
      <w:r w:rsidRPr="005D6853">
        <w:rPr>
          <w:rFonts w:ascii="Times New Roman" w:hAnsi="Times New Roman" w:cs="Times New Roman"/>
          <w:noProof/>
          <w:sz w:val="24"/>
          <w:szCs w:val="24"/>
          <w:lang w:val="en-GB"/>
        </w:rPr>
        <w:t>2018)</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and following the procedure detailed in the R scripts available at https://github.com/Jia-Xiu/Jia_et_al_Microorganisms_2020. First, the β-NTI was calculated. The β-NTI index compares the observed phylogenetic turnover in ASVs between pairs of communities with a null distribution. The observed phylogenetic turnover between pairs of communities was determined by β-mean nearest taxon distance (β-MNTD) using function ‘</w:t>
      </w:r>
      <w:proofErr w:type="spellStart"/>
      <w:r>
        <w:rPr>
          <w:rFonts w:ascii="Times New Roman" w:hAnsi="Times New Roman" w:cs="Times New Roman"/>
          <w:sz w:val="24"/>
          <w:szCs w:val="24"/>
          <w:lang w:val="en-GB"/>
        </w:rPr>
        <w:t>comdistnt</w:t>
      </w:r>
      <w:proofErr w:type="spellEnd"/>
      <w:r>
        <w:rPr>
          <w:rFonts w:ascii="Times New Roman" w:hAnsi="Times New Roman" w:cs="Times New Roman"/>
          <w:sz w:val="24"/>
          <w:szCs w:val="24"/>
          <w:lang w:val="en-GB"/>
        </w:rPr>
        <w:t xml:space="preserve">’ in the R package </w:t>
      </w:r>
      <w:r>
        <w:rPr>
          <w:rFonts w:ascii="Times New Roman" w:hAnsi="Times New Roman" w:cs="Times New Roman"/>
          <w:i/>
          <w:sz w:val="24"/>
          <w:szCs w:val="24"/>
          <w:lang w:val="en-GB"/>
        </w:rPr>
        <w:t>picante</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{"citationItems":[{"id":"ITEM-1","itemData":{"DOI":"10.1093/bioinformatics/btq166","ISSN":"13674803","PMID":"20395285","abstract":"Summary: Picante is a software package that provides a comprehensive set of tools for analyzing the phylogenetic and trait diversity of ecological communities. The package calculates phylogenetic diversity metrics, performs trait comparative analyses, manipulates phenotypic and phylogenetic data, and performs tests for phylogenetic signal in trait distributions, community structure and species interactions. © The Author 2010. Published by Oxford University Press.","author":[{"dropping-particle":"","family":"Kembel","given":"Steven W.","non-dropping-particle":"","parse-names":false,"suffix":""},{"dropping-particle":"","family":"Cowan","given":"Peter D.","non-dropping-particle":"","parse-names":false,"suffix":""},{"dropping-particle":"","family":"Helmus","given":"Matthew R.","non-dropping-particle":"","parse-names":false,"suffix":""},{"dropping-particle":"","family":"Cornwell","given":"William K.","non-dropping-particle":"","parse-names":false,"suffix":""},{"dropping-particle":"","family":"Morlon","given":"Helene","non-dropping-particle":"","parse-names":false,"suffix":""},{"dropping-particle":"","family":"Ackerly","given":"David D.","non-dropping-particle":"","parse-names":false,"suffix":""},{"dropping-particle":"","family":"Blomberg","given":"Simon P.","non-dropping-particle":"","parse-names":false,"suffix":""},{"dropping-particle":"","family":"Webb","given":"Campbell O.","non-dropping-particle":"","parse-names":false,"suffix":""}],"container-title":"Bioinformatics","id":"ITEM-1","issue":"11","issued":{"date-parts":[["2010"]]},"page":"1463-1464","title":"Picante: R tools for integrating phylogenies and ecology","type":"article-journal","volume":"26"},"uris":["http://www.mendeley.com/documents/?uuid=651dd941-55ff-41f6-b943-fcb047e4a2a3"]}],"mendeley":{"formattedCitation":"(Kembel et al., 2010)","plainTextFormattedCitation":"(Kembel et al., 2010)","previouslyFormattedCitation":"(Kembel et al., 2010)"},"properties":{"noteIndex":0},"schema":"https://github.com/citation-style-language/schema/raw/master/csl-citation.json"}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(Kembel et al., 2010)</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The null distribution of phylogenetic turnover was generated by randomly shuffling the ASVs at the tip of the phylogenetic tree 999 times. The β-NTI was measured as the difference between the observed β-MNTD and the mean of the null distribution in units of standard deviation. Second, the </w:t>
      </w:r>
      <w:proofErr w:type="spellStart"/>
      <w:r>
        <w:rPr>
          <w:rFonts w:ascii="Times New Roman" w:hAnsi="Times New Roman" w:cs="Times New Roman"/>
          <w:sz w:val="24"/>
          <w:szCs w:val="24"/>
          <w:lang w:val="en-GB"/>
        </w:rPr>
        <w:t>RC</w:t>
      </w:r>
      <w:r>
        <w:rPr>
          <w:rFonts w:ascii="Times New Roman" w:hAnsi="Times New Roman" w:cs="Times New Roman"/>
          <w:sz w:val="24"/>
          <w:szCs w:val="24"/>
          <w:vertAlign w:val="subscript"/>
          <w:lang w:val="en-GB"/>
        </w:rPr>
        <w:t>bray</w:t>
      </w:r>
      <w:proofErr w:type="spellEnd"/>
      <w:r>
        <w:rPr>
          <w:rFonts w:ascii="Times New Roman" w:hAnsi="Times New Roman" w:cs="Times New Roman"/>
          <w:sz w:val="24"/>
          <w:szCs w:val="24"/>
          <w:lang w:val="en-GB"/>
        </w:rPr>
        <w:t xml:space="preserve"> was calculated. The </w:t>
      </w:r>
      <w:proofErr w:type="spellStart"/>
      <w:r>
        <w:rPr>
          <w:rFonts w:ascii="Times New Roman" w:hAnsi="Times New Roman" w:cs="Times New Roman"/>
          <w:sz w:val="24"/>
          <w:szCs w:val="24"/>
          <w:lang w:val="en-GB"/>
        </w:rPr>
        <w:t>RC</w:t>
      </w:r>
      <w:r>
        <w:rPr>
          <w:rFonts w:ascii="Times New Roman" w:hAnsi="Times New Roman" w:cs="Times New Roman"/>
          <w:sz w:val="24"/>
          <w:szCs w:val="24"/>
          <w:vertAlign w:val="subscript"/>
          <w:lang w:val="en-GB"/>
        </w:rPr>
        <w:t>bray</w:t>
      </w:r>
      <w:proofErr w:type="spellEnd"/>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metric, compares the ASV taxonomic turnover between a pair of communities and the null distribution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{"citationItems":[{"id":"ITEM-1","itemData":{"DOI":"10.1038/ismej.2013.93","ISSN":"1751-7362","author":[{"dropping-particle":"","family":"Stegen","given":"James C","non-dropping-particle":"","parse-names":false,"suffix":""},{"dropping-particle":"","family":"Lin","given":"Xueju","non-dropping-particle":"","parse-names":false,"suffix":""},{"dropping-particle":"","family":"Fredrickson","given":"Jim K","non-dropping-particle":"","parse-names":false,"suffix":""},{"dropping-particle":"","family":"Chen","given":"Xingyuan","non-dropping-particle":"","parse-names":false,"suffix":""},{"dropping-particle":"","family":"Kennedy","given":"David W","non-dropping-particle":"","parse-names":false,"suffix":""},{"dropping-particle":"","family":"Murray","given":"Christopher J","non-dropping-particle":"","parse-names":false,"suffix":""},{"dropping-particle":"","family":"Rockhold","given":"Mark L","non-dropping-particle":"","parse-names":false,"suffix":""},{"dropping-particle":"","family":"Konopka","given":"Allan","non-dropping-particle":"","parse-names":false,"suffix":""}],"container-title":"The ISME Journal","id":"ITEM-1","issue":"11","issued":{"date-parts":[["2013","11","6"]]},"page":"2069-2079","publisher":"Nature Publishing Group","title":"Quantifying community assembly processes and identifying features that impose them","type":"article-journal","volume":"7"},"uris":["http://www.mendeley.com/documents/?uuid=8c98ad0e-7f55-41f6-beea-12fa4343d585"]}],"mendeley":{"formattedCitation":"(Stegen et al., 2013)","plainTextFormattedCitation":"(Stegen et al., 2013)","previouslyFormattedCitation":"(Stegen et al., 2013)"},"properties":{"noteIndex":0},"schema":"https://github.com/citation-style-language/schema/raw/master/csl-citation.json"}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(Stegen et al., 2013)</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To create the </w:t>
      </w:r>
      <w:proofErr w:type="spellStart"/>
      <w:r>
        <w:rPr>
          <w:rFonts w:ascii="Times New Roman" w:hAnsi="Times New Roman" w:cs="Times New Roman"/>
          <w:sz w:val="24"/>
          <w:szCs w:val="24"/>
          <w:lang w:val="en-GB"/>
        </w:rPr>
        <w:t>RC</w:t>
      </w:r>
      <w:r>
        <w:rPr>
          <w:rFonts w:ascii="Times New Roman" w:hAnsi="Times New Roman" w:cs="Times New Roman"/>
          <w:sz w:val="24"/>
          <w:szCs w:val="24"/>
          <w:vertAlign w:val="subscript"/>
          <w:lang w:val="en-GB"/>
        </w:rPr>
        <w:t>bray</w:t>
      </w:r>
      <w:proofErr w:type="spellEnd"/>
      <w:r>
        <w:rPr>
          <w:rFonts w:ascii="Times New Roman" w:hAnsi="Times New Roman" w:cs="Times New Roman"/>
          <w:sz w:val="24"/>
          <w:szCs w:val="24"/>
          <w:lang w:val="en-GB"/>
        </w:rPr>
        <w:t xml:space="preserve"> metric, the Bray-Curtis dissimilarity between observed communities was calculated using the function ‘</w:t>
      </w:r>
      <w:proofErr w:type="spellStart"/>
      <w:r>
        <w:rPr>
          <w:rFonts w:ascii="Times New Roman" w:hAnsi="Times New Roman" w:cs="Times New Roman"/>
          <w:sz w:val="24"/>
          <w:szCs w:val="24"/>
          <w:lang w:val="en-GB"/>
        </w:rPr>
        <w:t>vegdist</w:t>
      </w:r>
      <w:proofErr w:type="spellEnd"/>
      <w:r>
        <w:rPr>
          <w:rFonts w:ascii="Times New Roman" w:hAnsi="Times New Roman" w:cs="Times New Roman"/>
          <w:sz w:val="24"/>
          <w:szCs w:val="24"/>
          <w:lang w:val="en-GB"/>
        </w:rPr>
        <w:t xml:space="preserve">’ from </w:t>
      </w:r>
      <w:r>
        <w:rPr>
          <w:rFonts w:ascii="Times New Roman" w:hAnsi="Times New Roman" w:cs="Times New Roman"/>
          <w:i/>
          <w:sz w:val="24"/>
          <w:szCs w:val="24"/>
          <w:lang w:val="en-GB"/>
        </w:rPr>
        <w:t>vegan</w:t>
      </w:r>
      <w:r>
        <w:rPr>
          <w:rFonts w:ascii="Times New Roman" w:hAnsi="Times New Roman" w:cs="Times New Roman"/>
          <w:sz w:val="24"/>
          <w:szCs w:val="24"/>
          <w:lang w:val="en-GB"/>
        </w:rPr>
        <w:t xml:space="preserve"> R package </w:t>
      </w:r>
      <w:r>
        <w:rPr>
          <w:rFonts w:ascii="Times New Roman" w:hAnsi="Times New Roman" w:cs="Times New Roman"/>
          <w:i/>
          <w:sz w:val="24"/>
          <w:szCs w:val="24"/>
          <w:lang w:val="en-GB"/>
        </w:rPr>
        <w:fldChar w:fldCharType="begin" w:fldLock="1"/>
      </w:r>
      <w:r>
        <w:rPr>
          <w:rFonts w:ascii="Times New Roman" w:hAnsi="Times New Roman" w:cs="Times New Roman"/>
          <w:i/>
          <w:sz w:val="24"/>
          <w:szCs w:val="24"/>
          <w:lang w:val="en-GB"/>
        </w:rPr>
        <w:instrText>ADDIN CSL_CITATION {"citationItems":[{"id":"ITEM-1","itemData":{"author":[{"dropping-particle":"","family":"Oksanen","given":"Jari","non-dropping-particle":"","parse-names":false,"suffix":""},{"dropping-particle":"","family":"Kindt","given":"Gavin L.","non-dropping-particle":"","parse-names":false,"suffix":""},{"dropping-particle":"","family":"Roeland","given":"Simpson F.","non-dropping-particle":"","parse-names":false,"suffix":""},{"dropping-particle":"","family":"Blanchet","given":"Guillaume","non-dropping-particle":"","parse-names":false,"suffix":""},{"dropping-particle":"","family":"Legendre","given":"Pierre","non-dropping-particle":"","parse-names":false,"suffix":""},{"dropping-particle":"","family":"Minchin","given":"Peter R.","non-dropping-particle":"","parse-names":false,"suffix":""},{"dropping-particle":"","family":"O'Hara","given":"R.B.","non-dropping-particle":"","parse-names":false,"suffix":""},{"dropping-particle":"","family":"Solymos","given":"Peter","non-dropping-particle":"","parse-names":false,"suffix":""},{"dropping-particle":"","family":"Stevens","given":"M. Henry H.","non-dropping-particle":"","parse-names":false,"suffix":""},{"dropping-particle":"","family":"Szoecs","given":"Eduard","non-dropping-particle":"","parse-names":false,"suffix":""},{"dropping-particle":"","family":"Wagner","given":"Helene","non-dropping-particle":"","parse-names":false,"suffix":""},{"dropping-particle":"","family":"Barbour","given":"Matt","non-dropping-particle":"","parse-names":false,"suffix":""},{"dropping-particle":"","family":"Bedward","given":"Michael","non-dropping-particle":"","parse-names":false,"suffix":""},{"dropping-particle":"","family":"Bolker","given":"Ben","non-dropping-particle":"","parse-names":false,"suffix":""},{"dropping-particle":"","family":"Borcard","given":"Daniel","non-dropping-particle":"","parse-names":false,"suffix":""},{"dropping-particle":"","family":"Carvalho","given":"Gustavo","non-dropping-particle":"","parse-names":false,"suffix":""},{"dropping-particle":"","family":"Chirico","given":"Michael","non-dropping-particle":"","parse-names":false,"suffix":""},{"dropping-particle":"De","family":"Caceres","given":"Miquel","non-dropping-particle":"","parse-names":false,"suffix":""},{"dropping-particle":"","family":"Durand","given":"Sebastien","non-dropping-particle":"","parse-names":false,"suffix":""},{"dropping-particle":"","family":"Antoniazi Evangelista","given":"Heloisa Beatriz","non-dropping-particle":"","parse-names":false,"suffix":""},{"dropping-particle":"","family":"FitzJohn","given":"Rich","non-dropping-particle":"","parse-names":false,"suffix":""},{"dropping-particle":"","family":"Friendly","given":"Michael","non-dropping-particle":"","parse-names":false,"suffix":""},{"dropping-particle":"","family":"Furneaux","given":"Brendan","non-dropping-particle":"","parse-names":false,"suffix":""},{"dropping-particle":"","family":"Hannigan","given":"Geoffrey","non-dropping-particle":"","parse-names":false,"suffix":""},{"dropping-particle":"","family":"Hill","given":"Mark O.","non-dropping-particle":"","parse-names":false,"suffix":""},{"dropping-particle":"","family":"Lahti","given":"Leo","non-dropping-particle":"","parse-names":false,"suffix":""},{"dropping-particle":"","family":"McGlinn","given":"Dan","non-dropping-particle":"","parse-names":false,"suffix":""},{"dropping-particle":"","family":"Ouellette","given":"Marie-Helene","non-dropping-particle":"","parse-names":false,"suffix":""},{"dropping-particle":"","family":"Ribeiro Cunha","given":"Eduardo","non-dropping-particle":"","parse-names":false,"suffix":""},{"dropping-particle":"","family":"Smith","given":"Tyler","non-dropping-particle":"","parse-names":false,"suffix":""},{"dropping-particle":"","family":"Stier","given":"Adrian","non-dropping-particle":"","parse-names":false,"suffix":""},{"dropping-particle":"","family":"Braak","given":"Cajo J.F.","non-dropping-particle":"Ter","parse-names":false,"suffix":""},{"dropping-particle":"","family":"Weedon","given":"James","non-dropping-particle":"","parse-names":false,"suffix":""}],"id":"ITEM-1","issued":{"date-parts":[["2022"]]},"number":"2.6-2","title":"vegan: Community Ecology Package","type":"article"},"uris":["http://www.mendeley.com/documents/?uuid=2d588aaa-06b6-46e9-801a-86c9335eb356","http://www.mendeley.com/documents/?uuid=6686224c-641d-4323-a424-9ea2821e643e"]}],"mendeley":{"formattedCitation":"(Oksanen et al., 2022)","plainTextFormattedCitation":"(Oksanen et al., 2022)","previouslyFormattedCitation":"(Oksanen et al., 2022)"},"properties":{"noteIndex":0},"schema":"https://github.com/citation-style-language/schema/raw/master/csl-citation.json"}</w:instrText>
      </w:r>
      <w:r>
        <w:rPr>
          <w:rFonts w:ascii="Times New Roman" w:hAnsi="Times New Roman" w:cs="Times New Roman"/>
          <w:i/>
          <w:sz w:val="24"/>
          <w:szCs w:val="24"/>
          <w:lang w:val="en-GB"/>
        </w:rPr>
        <w:fldChar w:fldCharType="separate"/>
      </w:r>
      <w:r>
        <w:rPr>
          <w:rFonts w:ascii="Times New Roman" w:hAnsi="Times New Roman" w:cs="Times New Roman"/>
          <w:noProof/>
          <w:sz w:val="24"/>
          <w:szCs w:val="24"/>
          <w:lang w:val="en-GB"/>
        </w:rPr>
        <w:t>(Oksanen et al., 2022)</w:t>
      </w:r>
      <w:r>
        <w:rPr>
          <w:rFonts w:ascii="Times New Roman" w:hAnsi="Times New Roman" w:cs="Times New Roman"/>
          <w:i/>
          <w:sz w:val="24"/>
          <w:szCs w:val="24"/>
          <w:lang w:val="en-GB"/>
        </w:rPr>
        <w:fldChar w:fldCharType="end"/>
      </w:r>
      <w:r>
        <w:rPr>
          <w:rFonts w:ascii="Times New Roman" w:hAnsi="Times New Roman" w:cs="Times New Roman"/>
          <w:sz w:val="24"/>
          <w:szCs w:val="24"/>
          <w:lang w:val="en-GB"/>
        </w:rPr>
        <w:t xml:space="preserve">. Then, the null distribution of the Bray-Curtis dissimilarity between simulated communities were constructed by randomly sampling ASVs 999 times. The deviation between empirically observed Bray-Curtis and the null distribution was then standardized to vary between -1 and +1. To estimate the relative influence of each assembly process the combination of both, the β-NTI and the </w:t>
      </w:r>
      <w:proofErr w:type="spellStart"/>
      <w:r>
        <w:rPr>
          <w:rFonts w:ascii="Times New Roman" w:hAnsi="Times New Roman" w:cs="Times New Roman"/>
          <w:sz w:val="24"/>
          <w:szCs w:val="24"/>
          <w:lang w:val="en-GB"/>
        </w:rPr>
        <w:t>RC</w:t>
      </w:r>
      <w:r>
        <w:rPr>
          <w:rFonts w:ascii="Times New Roman" w:hAnsi="Times New Roman" w:cs="Times New Roman"/>
          <w:sz w:val="24"/>
          <w:szCs w:val="24"/>
          <w:vertAlign w:val="subscript"/>
          <w:lang w:val="en-GB"/>
        </w:rPr>
        <w:t>bray</w:t>
      </w:r>
      <w:proofErr w:type="spellEnd"/>
      <w:r>
        <w:rPr>
          <w:rFonts w:ascii="Times New Roman" w:hAnsi="Times New Roman" w:cs="Times New Roman"/>
          <w:sz w:val="24"/>
          <w:szCs w:val="24"/>
          <w:lang w:val="en-GB"/>
        </w:rPr>
        <w:t xml:space="preserve"> metric, was used for each land use by depth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{"citationItems":[{"id":"ITEM-1","itemData":{"DOI":"10.1073/pnas.1414261112","ISSN":"10916490","PMID":"25733885","abstract":"Ecological succession and the balance between stochastic and deterministic processes are two major themes within microbial ecology, but these conceptual domains have mostly developed independent of each other. Here we provide a framework that integrates shifts in community assembly processes with microbial primary succession to better understand mechanisms governing the stochastic/deterministic balance. Synthesizing previous work, we devised a conceptual model that links ecosystem development to alternative hypotheses related to shifts in ecological assembly processes. Conceptual model hypotheses were tested by coupling spatiotemporal data on soil bacterial communities with environmental conditions in a salt marsh chronosequence spanning 105 years of succession. Analyses within successional stages showed community composition to be initially governed by stochasticity, but as succession proceeded, there was a progressive increase in deterministic selection correlated with increasing sodium concentration. Analyses of community turnover among successional stages - which provide a larger spatiotemporal scale relative to within stage analyses - revealed that changes in the concentration of soil organic matter were the main predictor of the type and relative influence of determinism. Taken together, these results suggest scale-dependency in the mechanisms underlying selection. To better understand mechanisms governing these patterns, we developed an ecological simulation model that revealed how changes in selective environments cause shifts in the stochastic/ deterministic balance. Finally, we propose an extended - and experimentally testable - conceptual model integrating ecological assembly processes with primary and secondary succession. This framework provides a priori hypotheses for future experiments, thereby facilitating a systematic approach to understand assembly and succession in microbial communities across ecosystems.","author":[{"dropping-particle":"","family":"Dini-Andreote","given":"Francisco","non-dropping-particle":"","parse-names":false,"suffix":""},{"dropping-particle":"","family":"Stegen","given":"James C.","non-dropping-particle":"","parse-names":false,"suffix":""},{"dropping-particle":"","family":"Elsas","given":"Jan Dirk","non-dropping-particle":"Van","parse-names":false,"suffix":""},{"dropping-particle":"","family":"Salles","given":"Joana Falcão","non-dropping-particle":"","parse-names":false,"suffix":""}],"container-title":"Proceedings of the National Academy of Sciences of the United States of America","id":"ITEM-1","issue":"11","issued":{"date-parts":[["2015"]]},"page":"E1326-E1332","title":"Disentangling mechanisms that mediate the balance between stochastic and de</w:instrText>
      </w:r>
      <w:r w:rsidRPr="00EC71A9">
        <w:rPr>
          <w:rFonts w:ascii="Times New Roman" w:hAnsi="Times New Roman" w:cs="Times New Roman"/>
          <w:sz w:val="24"/>
          <w:szCs w:val="24"/>
        </w:rPr>
        <w:instrText>terministic processes in microbial succession","type":"article-journal","volume":"112"},"uris":["http://www.mendeley.com/documents/?uuid=702f15bc-b5ac-4dc7-bd4d-5333b59779e8"]},{"id":"ITEM-2","itemData":{"DOI":"10.1038/ismej.2012.22","ISSN":"1751-7362","author":[{"dropping-particle":"","family":"Stegen","given":"James C","non-dropping-particle":"","parse-names":false,"suffix":""},{"dropping-particle":"","family":"Lin","given":"Xueju","non-dropping-particle":"","parse-names":false,"suffix":""},{"dropping-particle":"","family":"Konopka","given":"Allan E","non-dropping-particle":"","parse-names":false,"suffix":""},{"dropping-particle":"","family":"Fredrickson","given":"James K","non-dropping-particle":"","parse-names":false,"suffix":""}],"container-title":"The ISME Journal","id":"ITEM-2","issue":"9","issued":{"date-parts":[["2012","9","29"]]},"page":"1653-1664","publisher":"Nature Publishing Group","title":"Stochastic and deterministic assembly processes in subsurface microbial communities","type":"article-journal","volume":"6"},"uris":["http://www.mendeley.com/documents/?uuid=f3397732-ce99-4da0-948d-6277d4a6cb2b"]}],"mendeley":{"formattedCitation":"(Dini-Andreote et al., 2015; Stegen et al., 2012)","plainTextFormattedCitation":"(Dini-Andreote et al., 2015; Stegen et al., 2012)","previouslyFormattedCitation":"(Dini-Andreote et al., 2015; Stegen et al., 2012)"},"properties":{"noteIndex":0},"schema":"https://github.com/citation-style-language/schema/raw/master/csl-citation.json"}</w:instrText>
      </w:r>
      <w:r>
        <w:rPr>
          <w:rFonts w:ascii="Times New Roman" w:hAnsi="Times New Roman" w:cs="Times New Roman"/>
          <w:sz w:val="24"/>
          <w:szCs w:val="24"/>
          <w:lang w:val="en-GB"/>
        </w:rPr>
        <w:fldChar w:fldCharType="separate"/>
      </w:r>
      <w:r w:rsidRPr="00EC71A9">
        <w:rPr>
          <w:rFonts w:ascii="Times New Roman" w:hAnsi="Times New Roman" w:cs="Times New Roman"/>
          <w:noProof/>
          <w:sz w:val="24"/>
          <w:szCs w:val="24"/>
        </w:rPr>
        <w:t>(Dini-Andreote et al., 2015; Stegen et al., 2012)</w:t>
      </w:r>
      <w:r>
        <w:rPr>
          <w:rFonts w:ascii="Times New Roman" w:hAnsi="Times New Roman" w:cs="Times New Roman"/>
          <w:sz w:val="24"/>
          <w:szCs w:val="24"/>
          <w:lang w:val="en-GB"/>
        </w:rPr>
        <w:fldChar w:fldCharType="end"/>
      </w:r>
      <w:r w:rsidRPr="00EC71A9">
        <w:rPr>
          <w:rFonts w:ascii="Times New Roman" w:hAnsi="Times New Roman" w:cs="Times New Roman"/>
          <w:sz w:val="24"/>
          <w:szCs w:val="24"/>
        </w:rPr>
        <w:t>.</w:t>
      </w:r>
    </w:p>
    <w:p w:rsidR="005D6853" w:rsidRPr="00EC71A9" w:rsidRDefault="005D6853">
      <w:pPr>
        <w:spacing w:line="259" w:lineRule="auto"/>
        <w:rPr>
          <w:rFonts w:ascii="Times New Roman" w:hAnsi="Times New Roman" w:cs="Times New Roman"/>
          <w:sz w:val="24"/>
          <w:szCs w:val="24"/>
        </w:rPr>
      </w:pPr>
      <w:r w:rsidRPr="00EC71A9">
        <w:rPr>
          <w:rFonts w:ascii="Times New Roman" w:hAnsi="Times New Roman" w:cs="Times New Roman"/>
          <w:sz w:val="24"/>
          <w:szCs w:val="24"/>
        </w:rPr>
        <w:br w:type="page"/>
      </w:r>
    </w:p>
    <w:p w:rsidR="005D6853" w:rsidRDefault="005D6853" w:rsidP="005D6853">
      <w:pPr>
        <w:widowControl w:val="0"/>
        <w:autoSpaceDE w:val="0"/>
        <w:autoSpaceDN w:val="0"/>
        <w:adjustRightInd w:val="0"/>
        <w:spacing w:line="240" w:lineRule="auto"/>
        <w:ind w:left="480" w:hanging="480"/>
        <w:rPr>
          <w:rFonts w:ascii="Times New Roman" w:hAnsi="Times New Roman" w:cs="Times New Roman"/>
          <w:sz w:val="24"/>
          <w:szCs w:val="24"/>
        </w:rPr>
      </w:pPr>
      <w:r w:rsidRPr="00EC71A9">
        <w:rPr>
          <w:rFonts w:ascii="Times New Roman" w:hAnsi="Times New Roman" w:cs="Times New Roman"/>
          <w:sz w:val="24"/>
          <w:szCs w:val="24"/>
        </w:rPr>
        <w:lastRenderedPageBreak/>
        <w:t>References</w:t>
      </w:r>
    </w:p>
    <w:p w:rsidR="005D6853" w:rsidRDefault="005D6853" w:rsidP="005D6853">
      <w:pPr>
        <w:widowControl w:val="0"/>
        <w:autoSpaceDE w:val="0"/>
        <w:autoSpaceDN w:val="0"/>
        <w:adjustRightInd w:val="0"/>
        <w:spacing w:line="240" w:lineRule="auto"/>
        <w:ind w:left="480" w:hanging="480"/>
        <w:rPr>
          <w:rFonts w:ascii="Times New Roman" w:hAnsi="Times New Roman" w:cs="Times New Roman"/>
          <w:sz w:val="24"/>
          <w:szCs w:val="24"/>
        </w:rPr>
      </w:pPr>
    </w:p>
    <w:p w:rsidR="005D6853" w:rsidRPr="00EC71A9" w:rsidRDefault="005D6853" w:rsidP="005D6853">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5D6853">
        <w:rPr>
          <w:rFonts w:ascii="Times New Roman" w:hAnsi="Times New Roman" w:cs="Times New Roman"/>
          <w:sz w:val="24"/>
          <w:szCs w:val="24"/>
        </w:rPr>
        <w:fldChar w:fldCharType="begin" w:fldLock="1"/>
      </w:r>
      <w:r w:rsidRPr="005D6853">
        <w:rPr>
          <w:rFonts w:ascii="Times New Roman" w:hAnsi="Times New Roman" w:cs="Times New Roman"/>
          <w:sz w:val="24"/>
          <w:szCs w:val="24"/>
        </w:rPr>
        <w:instrText xml:space="preserve">ADDIN Mendeley Bibliography CSL_BIBLIOGRAPHY </w:instrText>
      </w:r>
      <w:r w:rsidRPr="005D6853">
        <w:rPr>
          <w:rFonts w:ascii="Times New Roman" w:hAnsi="Times New Roman" w:cs="Times New Roman"/>
          <w:sz w:val="24"/>
          <w:szCs w:val="24"/>
        </w:rPr>
        <w:fldChar w:fldCharType="separate"/>
      </w:r>
      <w:r w:rsidRPr="005D6853">
        <w:rPr>
          <w:rFonts w:ascii="Times New Roman" w:hAnsi="Times New Roman" w:cs="Times New Roman"/>
          <w:noProof/>
          <w:sz w:val="24"/>
          <w:szCs w:val="24"/>
        </w:rPr>
        <w:t xml:space="preserve">Dini-Andreote, F., Stegen, J. C., Van Elsas, J. D., &amp; Salles, J. F. (2015). </w:t>
      </w:r>
      <w:r w:rsidRPr="00EC71A9">
        <w:rPr>
          <w:rFonts w:ascii="Times New Roman" w:hAnsi="Times New Roman" w:cs="Times New Roman"/>
          <w:noProof/>
          <w:sz w:val="24"/>
          <w:szCs w:val="24"/>
          <w:lang w:val="en-GB"/>
        </w:rPr>
        <w:t xml:space="preserve">Disentangling mechanisms that mediate the balance between stochastic and deterministic processes in microbial succession. </w:t>
      </w:r>
      <w:r w:rsidRPr="00EC71A9">
        <w:rPr>
          <w:rFonts w:ascii="Times New Roman" w:hAnsi="Times New Roman" w:cs="Times New Roman"/>
          <w:i/>
          <w:iCs/>
          <w:noProof/>
          <w:sz w:val="24"/>
          <w:szCs w:val="24"/>
          <w:lang w:val="en-GB"/>
        </w:rPr>
        <w:t>Proceedings of the National Academy of Sciences of the United States of America</w:t>
      </w:r>
      <w:r w:rsidRPr="00EC71A9">
        <w:rPr>
          <w:rFonts w:ascii="Times New Roman" w:hAnsi="Times New Roman" w:cs="Times New Roman"/>
          <w:noProof/>
          <w:sz w:val="24"/>
          <w:szCs w:val="24"/>
          <w:lang w:val="en-GB"/>
        </w:rPr>
        <w:t xml:space="preserve">, </w:t>
      </w:r>
      <w:r w:rsidRPr="00EC71A9">
        <w:rPr>
          <w:rFonts w:ascii="Times New Roman" w:hAnsi="Times New Roman" w:cs="Times New Roman"/>
          <w:i/>
          <w:iCs/>
          <w:noProof/>
          <w:sz w:val="24"/>
          <w:szCs w:val="24"/>
          <w:lang w:val="en-GB"/>
        </w:rPr>
        <w:t>112</w:t>
      </w:r>
      <w:r w:rsidRPr="00EC71A9">
        <w:rPr>
          <w:rFonts w:ascii="Times New Roman" w:hAnsi="Times New Roman" w:cs="Times New Roman"/>
          <w:noProof/>
          <w:sz w:val="24"/>
          <w:szCs w:val="24"/>
          <w:lang w:val="en-GB"/>
        </w:rPr>
        <w:t>(11), E1326–E1332. https://doi.org/10.1073/pnas.1414261112</w:t>
      </w:r>
    </w:p>
    <w:p w:rsidR="005D6853" w:rsidRPr="00EC71A9" w:rsidRDefault="005D6853" w:rsidP="005D6853">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5D6853">
        <w:rPr>
          <w:rFonts w:ascii="Times New Roman" w:hAnsi="Times New Roman" w:cs="Times New Roman"/>
          <w:noProof/>
          <w:sz w:val="24"/>
          <w:szCs w:val="24"/>
        </w:rPr>
        <w:t xml:space="preserve">Jia, X., Dini-Andreote, F., &amp; Falcão Salles, J. (2018). </w:t>
      </w:r>
      <w:r w:rsidRPr="00EC71A9">
        <w:rPr>
          <w:rFonts w:ascii="Times New Roman" w:hAnsi="Times New Roman" w:cs="Times New Roman"/>
          <w:noProof/>
          <w:sz w:val="24"/>
          <w:szCs w:val="24"/>
          <w:lang w:val="en-GB"/>
        </w:rPr>
        <w:t xml:space="preserve">Community Assembly Processes of the Microbial Rare Biosphere. </w:t>
      </w:r>
      <w:r w:rsidRPr="00EC71A9">
        <w:rPr>
          <w:rFonts w:ascii="Times New Roman" w:hAnsi="Times New Roman" w:cs="Times New Roman"/>
          <w:i/>
          <w:iCs/>
          <w:noProof/>
          <w:sz w:val="24"/>
          <w:szCs w:val="24"/>
          <w:lang w:val="en-GB"/>
        </w:rPr>
        <w:t>Trends in Microbiology</w:t>
      </w:r>
      <w:r w:rsidRPr="00EC71A9">
        <w:rPr>
          <w:rFonts w:ascii="Times New Roman" w:hAnsi="Times New Roman" w:cs="Times New Roman"/>
          <w:noProof/>
          <w:sz w:val="24"/>
          <w:szCs w:val="24"/>
          <w:lang w:val="en-GB"/>
        </w:rPr>
        <w:t xml:space="preserve">, </w:t>
      </w:r>
      <w:r w:rsidRPr="00EC71A9">
        <w:rPr>
          <w:rFonts w:ascii="Times New Roman" w:hAnsi="Times New Roman" w:cs="Times New Roman"/>
          <w:i/>
          <w:iCs/>
          <w:noProof/>
          <w:sz w:val="24"/>
          <w:szCs w:val="24"/>
          <w:lang w:val="en-GB"/>
        </w:rPr>
        <w:t>26</w:t>
      </w:r>
      <w:r w:rsidRPr="00EC71A9">
        <w:rPr>
          <w:rFonts w:ascii="Times New Roman" w:hAnsi="Times New Roman" w:cs="Times New Roman"/>
          <w:noProof/>
          <w:sz w:val="24"/>
          <w:szCs w:val="24"/>
          <w:lang w:val="en-GB"/>
        </w:rPr>
        <w:t>(9), 738–747. https://doi.org/10.1016/j.tim.2018.02.011</w:t>
      </w:r>
    </w:p>
    <w:p w:rsidR="005D6853" w:rsidRPr="00EC71A9" w:rsidRDefault="005D6853" w:rsidP="005D6853">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EC71A9">
        <w:rPr>
          <w:rFonts w:ascii="Times New Roman" w:hAnsi="Times New Roman" w:cs="Times New Roman"/>
          <w:noProof/>
          <w:sz w:val="24"/>
          <w:szCs w:val="24"/>
          <w:lang w:val="en-GB"/>
        </w:rPr>
        <w:t xml:space="preserve">Kembel, S. W., Cowan, P. D., Helmus, M. R., Cornwell, W. K., Morlon, H., Ackerly, D. D., Blomberg, S. P., &amp; Webb, C. O. (2010). Picante: R tools for integrating phylogenies and ecology. </w:t>
      </w:r>
      <w:r w:rsidRPr="00EC71A9">
        <w:rPr>
          <w:rFonts w:ascii="Times New Roman" w:hAnsi="Times New Roman" w:cs="Times New Roman"/>
          <w:i/>
          <w:iCs/>
          <w:noProof/>
          <w:sz w:val="24"/>
          <w:szCs w:val="24"/>
          <w:lang w:val="en-GB"/>
        </w:rPr>
        <w:t>Bioinformatics</w:t>
      </w:r>
      <w:r w:rsidRPr="00EC71A9">
        <w:rPr>
          <w:rFonts w:ascii="Times New Roman" w:hAnsi="Times New Roman" w:cs="Times New Roman"/>
          <w:noProof/>
          <w:sz w:val="24"/>
          <w:szCs w:val="24"/>
          <w:lang w:val="en-GB"/>
        </w:rPr>
        <w:t xml:space="preserve">, </w:t>
      </w:r>
      <w:r w:rsidRPr="00EC71A9">
        <w:rPr>
          <w:rFonts w:ascii="Times New Roman" w:hAnsi="Times New Roman" w:cs="Times New Roman"/>
          <w:i/>
          <w:iCs/>
          <w:noProof/>
          <w:sz w:val="24"/>
          <w:szCs w:val="24"/>
          <w:lang w:val="en-GB"/>
        </w:rPr>
        <w:t>26</w:t>
      </w:r>
      <w:r w:rsidRPr="00EC71A9">
        <w:rPr>
          <w:rFonts w:ascii="Times New Roman" w:hAnsi="Times New Roman" w:cs="Times New Roman"/>
          <w:noProof/>
          <w:sz w:val="24"/>
          <w:szCs w:val="24"/>
          <w:lang w:val="en-GB"/>
        </w:rPr>
        <w:t>(11), 1463–1464. https://doi.org/10.1093/bioinformatics/btq166</w:t>
      </w:r>
    </w:p>
    <w:p w:rsidR="005D6853" w:rsidRPr="00EC71A9" w:rsidRDefault="005D6853" w:rsidP="005D6853">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EC71A9">
        <w:rPr>
          <w:rFonts w:ascii="Times New Roman" w:hAnsi="Times New Roman" w:cs="Times New Roman"/>
          <w:noProof/>
          <w:sz w:val="24"/>
          <w:szCs w:val="24"/>
          <w:lang w:val="en-GB"/>
        </w:rPr>
        <w:t xml:space="preserve">Oksanen, J., Kindt, G. L., Roeland, S. F., Blanchet, G., Legendre, P., Minchin, P. R., O’Hara, R. B., Solymos, P., Stevens, M. H. H., Szoecs, E., Wagner, H., Barbour, M., Bedward, M., Bolker, B., Borcard, D., Carvalho, G., Chirico, M., Caceres, M. De, Durand, S., … Weedon, J. (2022). </w:t>
      </w:r>
      <w:r w:rsidRPr="00EC71A9">
        <w:rPr>
          <w:rFonts w:ascii="Times New Roman" w:hAnsi="Times New Roman" w:cs="Times New Roman"/>
          <w:i/>
          <w:iCs/>
          <w:noProof/>
          <w:sz w:val="24"/>
          <w:szCs w:val="24"/>
          <w:lang w:val="en-GB"/>
        </w:rPr>
        <w:t>vegan: Community Ecology Package</w:t>
      </w:r>
      <w:r w:rsidRPr="00EC71A9">
        <w:rPr>
          <w:rFonts w:ascii="Times New Roman" w:hAnsi="Times New Roman" w:cs="Times New Roman"/>
          <w:noProof/>
          <w:sz w:val="24"/>
          <w:szCs w:val="24"/>
          <w:lang w:val="en-GB"/>
        </w:rPr>
        <w:t xml:space="preserve"> (2.6-2). https://github.com/vegandevs/vegan</w:t>
      </w:r>
    </w:p>
    <w:p w:rsidR="005D6853" w:rsidRPr="00EC71A9" w:rsidRDefault="005D6853" w:rsidP="005D6853">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EC71A9">
        <w:rPr>
          <w:rFonts w:ascii="Times New Roman" w:hAnsi="Times New Roman" w:cs="Times New Roman"/>
          <w:noProof/>
          <w:sz w:val="24"/>
          <w:szCs w:val="24"/>
          <w:lang w:val="en-GB"/>
        </w:rPr>
        <w:t xml:space="preserve">Stegen, J. C., Lin, X., Fredrickson, J. K., Chen, X., Kennedy, D. W., Murray, C. J., Rockhold, M. L., &amp; Konopka, A. (2013). Quantifying community assembly processes and identifying features that impose them. </w:t>
      </w:r>
      <w:r w:rsidRPr="00EC71A9">
        <w:rPr>
          <w:rFonts w:ascii="Times New Roman" w:hAnsi="Times New Roman" w:cs="Times New Roman"/>
          <w:i/>
          <w:iCs/>
          <w:noProof/>
          <w:sz w:val="24"/>
          <w:szCs w:val="24"/>
          <w:lang w:val="en-GB"/>
        </w:rPr>
        <w:t>The ISME Journal</w:t>
      </w:r>
      <w:r w:rsidRPr="00EC71A9">
        <w:rPr>
          <w:rFonts w:ascii="Times New Roman" w:hAnsi="Times New Roman" w:cs="Times New Roman"/>
          <w:noProof/>
          <w:sz w:val="24"/>
          <w:szCs w:val="24"/>
          <w:lang w:val="en-GB"/>
        </w:rPr>
        <w:t xml:space="preserve">, </w:t>
      </w:r>
      <w:r w:rsidRPr="00EC71A9">
        <w:rPr>
          <w:rFonts w:ascii="Times New Roman" w:hAnsi="Times New Roman" w:cs="Times New Roman"/>
          <w:i/>
          <w:iCs/>
          <w:noProof/>
          <w:sz w:val="24"/>
          <w:szCs w:val="24"/>
          <w:lang w:val="en-GB"/>
        </w:rPr>
        <w:t>7</w:t>
      </w:r>
      <w:r w:rsidRPr="00EC71A9">
        <w:rPr>
          <w:rFonts w:ascii="Times New Roman" w:hAnsi="Times New Roman" w:cs="Times New Roman"/>
          <w:noProof/>
          <w:sz w:val="24"/>
          <w:szCs w:val="24"/>
          <w:lang w:val="en-GB"/>
        </w:rPr>
        <w:t>(11), 2069–2079. https://doi.org/10.1038/ismej.2013.93</w:t>
      </w:r>
    </w:p>
    <w:p w:rsidR="005D6853" w:rsidRPr="00EC71A9" w:rsidRDefault="005D6853" w:rsidP="005D6853">
      <w:pPr>
        <w:widowControl w:val="0"/>
        <w:autoSpaceDE w:val="0"/>
        <w:autoSpaceDN w:val="0"/>
        <w:adjustRightInd w:val="0"/>
        <w:spacing w:line="240" w:lineRule="auto"/>
        <w:ind w:left="480" w:hanging="480"/>
        <w:rPr>
          <w:rFonts w:ascii="Times New Roman" w:hAnsi="Times New Roman" w:cs="Times New Roman"/>
          <w:noProof/>
          <w:sz w:val="24"/>
          <w:szCs w:val="24"/>
          <w:lang w:val="en-GB"/>
        </w:rPr>
      </w:pPr>
      <w:r w:rsidRPr="00EC71A9">
        <w:rPr>
          <w:rFonts w:ascii="Times New Roman" w:hAnsi="Times New Roman" w:cs="Times New Roman"/>
          <w:noProof/>
          <w:sz w:val="24"/>
          <w:szCs w:val="24"/>
          <w:lang w:val="en-GB"/>
        </w:rPr>
        <w:t xml:space="preserve">Stegen, J. C., Lin, X., Konopka, A. E., &amp; Fredrickson, J. K. (2012). Stochastic and deterministic assembly processes in subsurface microbial communities. </w:t>
      </w:r>
      <w:r w:rsidRPr="00EC71A9">
        <w:rPr>
          <w:rFonts w:ascii="Times New Roman" w:hAnsi="Times New Roman" w:cs="Times New Roman"/>
          <w:i/>
          <w:iCs/>
          <w:noProof/>
          <w:sz w:val="24"/>
          <w:szCs w:val="24"/>
          <w:lang w:val="en-GB"/>
        </w:rPr>
        <w:t>The ISME Journal</w:t>
      </w:r>
      <w:r w:rsidRPr="00EC71A9">
        <w:rPr>
          <w:rFonts w:ascii="Times New Roman" w:hAnsi="Times New Roman" w:cs="Times New Roman"/>
          <w:noProof/>
          <w:sz w:val="24"/>
          <w:szCs w:val="24"/>
          <w:lang w:val="en-GB"/>
        </w:rPr>
        <w:t xml:space="preserve">, </w:t>
      </w:r>
      <w:r w:rsidRPr="00EC71A9">
        <w:rPr>
          <w:rFonts w:ascii="Times New Roman" w:hAnsi="Times New Roman" w:cs="Times New Roman"/>
          <w:i/>
          <w:iCs/>
          <w:noProof/>
          <w:sz w:val="24"/>
          <w:szCs w:val="24"/>
          <w:lang w:val="en-GB"/>
        </w:rPr>
        <w:t>6</w:t>
      </w:r>
      <w:r w:rsidRPr="00EC71A9">
        <w:rPr>
          <w:rFonts w:ascii="Times New Roman" w:hAnsi="Times New Roman" w:cs="Times New Roman"/>
          <w:noProof/>
          <w:sz w:val="24"/>
          <w:szCs w:val="24"/>
          <w:lang w:val="en-GB"/>
        </w:rPr>
        <w:t>(9), 1653–1664. https://doi.org/10.1038/ismej.2012.22</w:t>
      </w:r>
    </w:p>
    <w:p w:rsidR="005D6853" w:rsidRDefault="005D6853">
      <w:r w:rsidRPr="005D6853">
        <w:rPr>
          <w:rFonts w:ascii="Times New Roman" w:hAnsi="Times New Roman" w:cs="Times New Roman"/>
          <w:sz w:val="24"/>
          <w:szCs w:val="24"/>
        </w:rPr>
        <w:fldChar w:fldCharType="end"/>
      </w:r>
    </w:p>
    <w:sectPr w:rsidR="005D685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A3" w:rsidRDefault="00A751A3" w:rsidP="005D6853">
      <w:pPr>
        <w:spacing w:after="0" w:line="240" w:lineRule="auto"/>
      </w:pPr>
      <w:r>
        <w:separator/>
      </w:r>
    </w:p>
  </w:endnote>
  <w:endnote w:type="continuationSeparator" w:id="0">
    <w:p w:rsidR="00A751A3" w:rsidRDefault="00A751A3" w:rsidP="005D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1-mini-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566186"/>
      <w:docPartObj>
        <w:docPartGallery w:val="Page Numbers (Bottom of Page)"/>
        <w:docPartUnique/>
      </w:docPartObj>
    </w:sdtPr>
    <w:sdtEndPr/>
    <w:sdtContent>
      <w:p w:rsidR="005D6853" w:rsidRDefault="005D6853">
        <w:pPr>
          <w:pStyle w:val="Piedepgina"/>
          <w:jc w:val="right"/>
        </w:pPr>
        <w:r>
          <w:fldChar w:fldCharType="begin"/>
        </w:r>
        <w:r>
          <w:instrText>PAGE   \* MERGEFORMAT</w:instrText>
        </w:r>
        <w:r>
          <w:fldChar w:fldCharType="separate"/>
        </w:r>
        <w:r w:rsidR="00EC71A9" w:rsidRPr="00EC71A9">
          <w:rPr>
            <w:noProof/>
            <w:lang w:val="es-ES"/>
          </w:rPr>
          <w:t>1</w:t>
        </w:r>
        <w:r>
          <w:fldChar w:fldCharType="end"/>
        </w:r>
      </w:p>
    </w:sdtContent>
  </w:sdt>
  <w:p w:rsidR="005D6853" w:rsidRDefault="005D68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A3" w:rsidRDefault="00A751A3" w:rsidP="005D6853">
      <w:pPr>
        <w:spacing w:after="0" w:line="240" w:lineRule="auto"/>
      </w:pPr>
      <w:r>
        <w:separator/>
      </w:r>
    </w:p>
  </w:footnote>
  <w:footnote w:type="continuationSeparator" w:id="0">
    <w:p w:rsidR="00A751A3" w:rsidRDefault="00A751A3" w:rsidP="005D6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53"/>
    <w:rsid w:val="00011D86"/>
    <w:rsid w:val="00147DF8"/>
    <w:rsid w:val="002E473B"/>
    <w:rsid w:val="00332836"/>
    <w:rsid w:val="00460FDB"/>
    <w:rsid w:val="005D6853"/>
    <w:rsid w:val="00714ED9"/>
    <w:rsid w:val="009216D3"/>
    <w:rsid w:val="009C374D"/>
    <w:rsid w:val="00A37EBF"/>
    <w:rsid w:val="00A751A3"/>
    <w:rsid w:val="00B36D03"/>
    <w:rsid w:val="00B661D6"/>
    <w:rsid w:val="00D11453"/>
    <w:rsid w:val="00DB1715"/>
    <w:rsid w:val="00DC1933"/>
    <w:rsid w:val="00EC71A9"/>
    <w:rsid w:val="00F56391"/>
    <w:rsid w:val="00F744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2A35"/>
  <w15:chartTrackingRefBased/>
  <w15:docId w15:val="{DB203ADB-1419-48D3-9C82-B91B2CD7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5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D6853"/>
    <w:rPr>
      <w:color w:val="0563C1" w:themeColor="hyperlink"/>
      <w:u w:val="single"/>
    </w:rPr>
  </w:style>
  <w:style w:type="character" w:customStyle="1" w:styleId="fontstyle01">
    <w:name w:val="fontstyle01"/>
    <w:basedOn w:val="Fuentedeprrafopredeter"/>
    <w:rsid w:val="005D6853"/>
    <w:rPr>
      <w:rFonts w:ascii="t1-mini-regular" w:hAnsi="t1-mini-regular" w:hint="default"/>
      <w:b w:val="0"/>
      <w:bCs w:val="0"/>
      <w:i w:val="0"/>
      <w:iCs w:val="0"/>
      <w:color w:val="000000"/>
      <w:sz w:val="22"/>
      <w:szCs w:val="22"/>
    </w:rPr>
  </w:style>
  <w:style w:type="character" w:customStyle="1" w:styleId="fontstyle21">
    <w:name w:val="fontstyle21"/>
    <w:basedOn w:val="Fuentedeprrafopredeter"/>
    <w:rsid w:val="005D6853"/>
    <w:rPr>
      <w:rFonts w:ascii="Calibri" w:hAnsi="Calibri" w:cs="Calibri" w:hint="default"/>
      <w:b w:val="0"/>
      <w:bCs w:val="0"/>
      <w:i w:val="0"/>
      <w:iCs w:val="0"/>
      <w:color w:val="000000"/>
      <w:sz w:val="22"/>
      <w:szCs w:val="22"/>
    </w:rPr>
  </w:style>
  <w:style w:type="paragraph" w:styleId="Encabezado">
    <w:name w:val="header"/>
    <w:basedOn w:val="Normal"/>
    <w:link w:val="EncabezadoCar"/>
    <w:uiPriority w:val="99"/>
    <w:unhideWhenUsed/>
    <w:rsid w:val="005D68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6853"/>
  </w:style>
  <w:style w:type="paragraph" w:styleId="Piedepgina">
    <w:name w:val="footer"/>
    <w:basedOn w:val="Normal"/>
    <w:link w:val="PiedepginaCar"/>
    <w:uiPriority w:val="99"/>
    <w:unhideWhenUsed/>
    <w:rsid w:val="005D68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varez.valeria@inta.gob.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7862-21EC-4178-9BBA-48A5D627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3416</Words>
  <Characters>18791</Characters>
  <Application>Microsoft Office Word</Application>
  <DocSecurity>0</DocSecurity>
  <Lines>156</Lines>
  <Paragraphs>44</Paragraphs>
  <ScaleCrop>false</ScaleCrop>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alvarez.valeria</dc:creator>
  <cp:keywords/>
  <dc:description/>
  <cp:lastModifiedBy>alvarez.valeria</cp:lastModifiedBy>
  <cp:revision>2</cp:revision>
  <dcterms:created xsi:type="dcterms:W3CDTF">2022-10-19T20:45:00Z</dcterms:created>
  <dcterms:modified xsi:type="dcterms:W3CDTF">2022-10-19T22:59:00Z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f6d79e57-e6a3-3b89-b9bf-12af862f9eae</vt:lpwstr>
  </property>
  <property fmtid="{D5CDD505-2E9C-101B-9397-08002B2CF9AE}" pid="24" name="Mendeley Citation Style_1">
    <vt:lpwstr>http://www.zotero.org/styles/apa</vt:lpwstr>
  </property>
</Properties>
</file>